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CEF19AD" w:rsidR="00093CA9" w:rsidRDefault="00EB3E15" w:rsidP="00093CA9">
            <w:r w:rsidRPr="00EB3E15">
              <w:t>Oil and Gas Decarbonisation Charter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4297AA7" w:rsidR="00093CA9" w:rsidRDefault="003659E3" w:rsidP="00093CA9">
            <w:hyperlink r:id="rId17" w:history="1">
              <w:r w:rsidRPr="003659E3">
                <w:rPr>
                  <w:rStyle w:val="Hyperlink"/>
                </w:rPr>
                <w:t>Link</w:t>
              </w:r>
            </w:hyperlink>
            <w:r>
              <w:t xml:space="preserve"> to PDF.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9466E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388FC5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92121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5727896" w:rsidR="00093CA9" w:rsidRDefault="00EB3E15"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CD0F1F5" w14:textId="77777777" w:rsidR="00093CA9" w:rsidRDefault="003659E3" w:rsidP="003659E3">
            <w:r>
              <w:t xml:space="preserve">The Oil &amp; Gas Decarbonisation Charter is a sector-wide initiative that articulates the oil and gas industry’s commitment to addressing climate change in alignment with the Paris Agreement. The Charter’s overarching goal is to support the global effort to limit the rise in average global temperature to well below </w:t>
            </w:r>
            <w:proofErr w:type="spellStart"/>
            <w:r>
              <w:t>2°C</w:t>
            </w:r>
            <w:proofErr w:type="spellEnd"/>
            <w:r>
              <w:t xml:space="preserve"> above pre-industrial levels, with a further ambition to pursue efforts to limit the increase to </w:t>
            </w:r>
            <w:proofErr w:type="spellStart"/>
            <w:r>
              <w:t>1.5°C</w:t>
            </w:r>
            <w:proofErr w:type="spellEnd"/>
            <w:r>
              <w:t>.</w:t>
            </w:r>
          </w:p>
          <w:p w14:paraId="69230AC8" w14:textId="77777777" w:rsidR="003659E3" w:rsidRDefault="003659E3" w:rsidP="003659E3">
            <w:r w:rsidRPr="003659E3">
              <w:t>The Oil &amp; Gas Decarbonisation Charter is a comprehensive framework designed to drive the oil and gas sector towards net-zero emissions by 2050, with a strong emphasis on transparency, collaboration, and the adoption of best practices. Methane abatement is highlighted as a key area for rapid and significant emissions reduction, underpinning the Charter’s relevance and urgency in the context of global climate action.</w:t>
            </w:r>
          </w:p>
          <w:p w14:paraId="18257824" w14:textId="18F63930" w:rsidR="003659E3" w:rsidRDefault="003659E3" w:rsidP="003659E3">
            <w:r w:rsidRPr="003659E3">
              <w:t>By prioritising methane abatement, the Charter recognises that reducing methane emissions and stopping routine flaring will provide the largest and most immediate reductions in emissions from oil and gas operations by 2030. This focus is critical for the sector’s contribution to the global climate agenda and for achieving the interim and long-term targets set out in the Charter.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8FCB5A3" w:rsidR="00093CA9" w:rsidRDefault="003659E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45B3E3C" w:rsidR="00093CA9" w:rsidRPr="00173D7C" w:rsidRDefault="003659E3" w:rsidP="00093CA9">
            <w:pPr>
              <w:rPr>
                <w:color w:val="000000" w:themeColor="text1"/>
              </w:rPr>
            </w:pPr>
            <w:r>
              <w:rPr>
                <w:color w:val="000000" w:themeColor="text1"/>
              </w:rPr>
              <w:t>Not specified</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2A63F41" w:rsidR="00093CA9" w:rsidRPr="00173D7C" w:rsidRDefault="003659E3" w:rsidP="00093CA9">
            <w:pPr>
              <w:rPr>
                <w:color w:val="000000" w:themeColor="text1"/>
              </w:rPr>
            </w:pPr>
            <w:r>
              <w:rPr>
                <w:color w:val="000000" w:themeColor="text1"/>
              </w:rPr>
              <w:t>Not specified</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58FBFC0" w:rsidR="00093CA9" w:rsidRDefault="003659E3" w:rsidP="00093CA9">
            <w:r w:rsidRPr="003659E3">
              <w:t>The Charter is thus a product of multi-stakeholder collaboration, with the oil and gas industry at its core, but also actively involving other key sectors and actors necessary for achieving its decarbonisation ambitions. The approach is inclusive and action-oriented, aiming to bring together almost all private and national oil and gas companies, supported by policy frameworks and partnerships with enabling sectors.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EFDA4D0" w:rsidR="00093CA9" w:rsidRPr="006B7B0D" w:rsidRDefault="003659E3" w:rsidP="00093CA9">
            <w:r w:rsidRPr="003659E3">
              <w:t>The Oil &amp; Gas Decarbonisation Charter does not designate a single external authority responsible for overseeing implementation or enforcement.</w:t>
            </w:r>
            <w:r>
              <w:t xml:space="preserv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EC36561" w:rsidR="00093CA9" w:rsidRDefault="00CD24D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3659E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659E3" w:rsidRDefault="00107CE2" w:rsidP="00DD3144">
            <w:pPr>
              <w:rPr>
                <w:lang w:val="fr-FR"/>
              </w:rPr>
            </w:pPr>
            <w:r w:rsidRPr="003659E3">
              <w:rPr>
                <w:lang w:val="fr-FR"/>
              </w:rPr>
              <w:t>Minimum revenue (Enter minimum revenue)</w:t>
            </w:r>
          </w:p>
        </w:tc>
        <w:tc>
          <w:tcPr>
            <w:tcW w:w="4910" w:type="dxa"/>
            <w:gridSpan w:val="7"/>
            <w:shd w:val="clear" w:color="auto" w:fill="auto"/>
            <w:vAlign w:val="center"/>
          </w:tcPr>
          <w:p w14:paraId="2518BD70" w14:textId="77777777" w:rsidR="00524D54" w:rsidRPr="003659E3"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3659E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659E3" w:rsidRDefault="004F276F" w:rsidP="00C37D48">
            <w:pPr>
              <w:rPr>
                <w:rFonts w:ascii="Calibri" w:hAnsi="Calibri" w:cs="Calibri"/>
                <w:lang w:val="fr-FR"/>
              </w:rPr>
            </w:pPr>
            <w:r w:rsidRPr="003659E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659E3"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3659E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659E3" w:rsidRDefault="00C66EE0" w:rsidP="00610F28">
            <w:pPr>
              <w:rPr>
                <w:rFonts w:ascii="Calibri" w:hAnsi="Calibri" w:cs="Calibri"/>
                <w:lang w:val="fr-FR"/>
              </w:rPr>
            </w:pPr>
            <w:r w:rsidRPr="003659E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659E3"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3659E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659E3" w:rsidRDefault="00092534" w:rsidP="00CF2E7C">
            <w:pPr>
              <w:rPr>
                <w:rFonts w:ascii="Calibri" w:hAnsi="Calibri" w:cs="Calibri"/>
                <w:lang w:val="fr-FR"/>
              </w:rPr>
            </w:pPr>
            <w:r w:rsidRPr="003659E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659E3"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3659E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659E3" w:rsidRDefault="00DD292A" w:rsidP="00CF2E7C">
            <w:pPr>
              <w:rPr>
                <w:rFonts w:ascii="Calibri" w:hAnsi="Calibri" w:cs="Calibri"/>
                <w:lang w:val="fr-FR"/>
              </w:rPr>
            </w:pPr>
            <w:r w:rsidRPr="003659E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659E3"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35651DA9" w:rsidR="002F0752" w:rsidRPr="00CF2E7C" w:rsidRDefault="00713F1C"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032FB304" w:rsidR="002F0752" w:rsidRPr="00CF2E7C" w:rsidRDefault="00713F1C"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21D490F" w:rsidR="002F0752" w:rsidRPr="00CF2E7C" w:rsidRDefault="00713F1C"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2CC524B0" w:rsidR="002F0752" w:rsidRPr="00CF2E7C" w:rsidRDefault="00713F1C"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57F35307" w:rsidR="002F0752" w:rsidRPr="00CF2E7C" w:rsidRDefault="00713F1C"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5888851C" w:rsidR="002F0752" w:rsidRPr="00CF2E7C" w:rsidRDefault="00713F1C"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8677A03" w:rsidR="002F0752" w:rsidRPr="00CF2E7C" w:rsidRDefault="00713F1C"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4C07BB7" w:rsidR="002F0752" w:rsidRPr="00CF2E7C" w:rsidRDefault="00713F1C"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756DEEA" w:rsidR="002F0752" w:rsidRPr="00CF2E7C" w:rsidRDefault="00713F1C"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0AB2A322" w:rsidR="002F0752" w:rsidRPr="00CF2E7C" w:rsidRDefault="00713F1C"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22906F4" w:rsidR="002F0752" w:rsidRPr="00CF2E7C" w:rsidRDefault="00713F1C"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442EC86F" w:rsidR="002F0752" w:rsidRPr="00CF2E7C" w:rsidRDefault="002F0752" w:rsidP="00CF2E7C">
            <w:pPr>
              <w:rPr>
                <w:rFonts w:ascii="Calibri" w:hAnsi="Calibri" w:cs="Calibri"/>
              </w:rPr>
            </w:pPr>
          </w:p>
        </w:tc>
        <w:tc>
          <w:tcPr>
            <w:tcW w:w="1483" w:type="dxa"/>
            <w:vAlign w:val="center"/>
          </w:tcPr>
          <w:p w14:paraId="0DE8CA67" w14:textId="690371B9" w:rsidR="002F0752" w:rsidRPr="00CF2E7C" w:rsidRDefault="00713F1C"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6B30BB1D" w:rsidR="002F0752" w:rsidRPr="00CF2E7C" w:rsidRDefault="00713F1C"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6D30924" w14:textId="77777777" w:rsidR="002F0752" w:rsidRDefault="00713F1C" w:rsidP="00CF2E7C">
            <w:pPr>
              <w:rPr>
                <w:rFonts w:ascii="Calibri" w:hAnsi="Calibri" w:cs="Calibri"/>
              </w:rPr>
            </w:pPr>
            <w:r>
              <w:rPr>
                <w:rFonts w:ascii="Calibri" w:hAnsi="Calibri" w:cs="Calibri"/>
              </w:rPr>
              <w:t xml:space="preserve">Only the oil and gas industry. </w:t>
            </w:r>
          </w:p>
          <w:p w14:paraId="08E21EF3" w14:textId="43E95234" w:rsidR="00713F1C" w:rsidRPr="00CF2E7C" w:rsidRDefault="00713F1C" w:rsidP="00CF2E7C">
            <w:pPr>
              <w:rPr>
                <w:rFonts w:ascii="Calibri" w:hAnsi="Calibri" w:cs="Calibri"/>
              </w:rPr>
            </w:pPr>
            <w:r>
              <w:rPr>
                <w:rFonts w:ascii="Calibri" w:hAnsi="Calibri" w:cs="Calibri"/>
              </w:rPr>
              <w:t xml:space="preserve">The Charter also references technology and service providers as important partners in achieving methane abatement, as well as customers and policy makers, who are engaged to support and accelerate the transition.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51CC1853" w:rsidR="002F0752" w:rsidRPr="00CF2E7C" w:rsidRDefault="00713F1C" w:rsidP="00CF2E7C">
            <w:pPr>
              <w:rPr>
                <w:rFonts w:ascii="Calibri" w:hAnsi="Calibri" w:cs="Calibri"/>
              </w:rPr>
            </w:pPr>
            <w:r>
              <w:rPr>
                <w:rFonts w:ascii="Calibri" w:hAnsi="Calibri" w:cs="Calibri"/>
              </w:rPr>
              <w:t>x</w:t>
            </w: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1DCE055E" w:rsidR="002F0752" w:rsidRPr="00CF2E7C" w:rsidRDefault="00713F1C" w:rsidP="00CF2E7C">
            <w:pPr>
              <w:rPr>
                <w:rFonts w:ascii="Calibri" w:hAnsi="Calibri" w:cs="Calibri"/>
              </w:rPr>
            </w:pPr>
            <w:r>
              <w:rPr>
                <w:rFonts w:ascii="Calibri" w:hAnsi="Calibri" w:cs="Calibri"/>
              </w:rPr>
              <w:t>x</w:t>
            </w: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490B5FD0" w:rsidR="002F0752" w:rsidRPr="00CF2E7C" w:rsidRDefault="00713F1C" w:rsidP="00CF2E7C">
            <w:pPr>
              <w:rPr>
                <w:rFonts w:ascii="Calibri" w:hAnsi="Calibri" w:cs="Calibri"/>
              </w:rPr>
            </w:pPr>
            <w:r>
              <w:rPr>
                <w:rFonts w:ascii="Calibri" w:hAnsi="Calibri" w:cs="Calibri"/>
              </w:rPr>
              <w:t xml:space="preserve">Only the oil and gas sector. </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3659E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659E3" w:rsidRDefault="002F0752" w:rsidP="00CF2E7C">
            <w:pPr>
              <w:rPr>
                <w:rFonts w:ascii="Calibri" w:hAnsi="Calibri" w:cs="Calibri"/>
                <w:lang w:val="fr-FR"/>
              </w:rPr>
            </w:pPr>
            <w:r w:rsidRPr="003659E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659E3"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7C635F4" w14:textId="77777777" w:rsidR="002F0752" w:rsidRDefault="00AA1802" w:rsidP="00CF2E7C">
            <w:pPr>
              <w:rPr>
                <w:rFonts w:ascii="Calibri" w:hAnsi="Calibri" w:cs="Calibri"/>
              </w:rPr>
            </w:pPr>
            <w:r>
              <w:rPr>
                <w:rFonts w:ascii="Calibri" w:hAnsi="Calibri" w:cs="Calibri"/>
              </w:rPr>
              <w:t xml:space="preserve">Yes – see the Baseline Report. 54 oil and gas companies have signed up to the Charter’s ambitions – </w:t>
            </w:r>
            <w:hyperlink r:id="rId20" w:anchor=":~:text=Survey%20findings.%20OGDC's%20Baselining%20survey%20found%20that,near%20zero%20and%20eliminate%20flaring%20by%202030." w:history="1">
              <w:r w:rsidRPr="00AA1802">
                <w:rPr>
                  <w:rStyle w:val="Hyperlink"/>
                  <w:rFonts w:ascii="Calibri" w:hAnsi="Calibri" w:cs="Calibri"/>
                </w:rPr>
                <w:t>weblink</w:t>
              </w:r>
            </w:hyperlink>
            <w:r>
              <w:rPr>
                <w:rFonts w:ascii="Calibri" w:hAnsi="Calibri" w:cs="Calibri"/>
              </w:rPr>
              <w:t xml:space="preserve">.  </w:t>
            </w:r>
          </w:p>
          <w:p w14:paraId="04D46FCC" w14:textId="36614957" w:rsidR="00AA1802" w:rsidRDefault="00AA1802" w:rsidP="00CF2E7C">
            <w:pPr>
              <w:rPr>
                <w:rFonts w:ascii="Calibri" w:hAnsi="Calibri" w:cs="Calibri"/>
              </w:rPr>
            </w:pPr>
            <w:r>
              <w:rPr>
                <w:rFonts w:ascii="Calibri" w:hAnsi="Calibri" w:cs="Calibri"/>
              </w:rPr>
              <w:t xml:space="preserve">The Charter has established a governance framework and launched a survey to determine signatories’ emissions reduction ambitions and implementation plans to set a baseline to track future progress. </w:t>
            </w:r>
          </w:p>
          <w:p w14:paraId="14B5E7EF" w14:textId="77777777" w:rsidR="00AA1802" w:rsidRDefault="00AA1802" w:rsidP="00CF2E7C">
            <w:pPr>
              <w:rPr>
                <w:rFonts w:ascii="Calibri" w:hAnsi="Calibri" w:cs="Calibri"/>
              </w:rPr>
            </w:pPr>
            <w:r>
              <w:rPr>
                <w:rFonts w:ascii="Calibri" w:hAnsi="Calibri" w:cs="Calibri"/>
              </w:rPr>
              <w:t xml:space="preserve">It has implemented a Collaborate &amp; Share program. </w:t>
            </w:r>
          </w:p>
          <w:p w14:paraId="28830E53" w14:textId="2AB88E27" w:rsidR="00AA1802" w:rsidRPr="00CF2E7C" w:rsidRDefault="00AA1802" w:rsidP="00CF2E7C">
            <w:pPr>
              <w:rPr>
                <w:rFonts w:ascii="Calibri" w:hAnsi="Calibri" w:cs="Calibri"/>
              </w:rPr>
            </w:pPr>
            <w:r>
              <w:rPr>
                <w:rFonts w:ascii="Calibri" w:hAnsi="Calibri" w:cs="Calibri"/>
              </w:rPr>
              <w:t xml:space="preserve">See also </w:t>
            </w:r>
            <w:hyperlink r:id="rId21" w:history="1">
              <w:r w:rsidRPr="00AA1802">
                <w:rPr>
                  <w:rStyle w:val="Hyperlink"/>
                  <w:rFonts w:ascii="Calibri" w:hAnsi="Calibri" w:cs="Calibri"/>
                </w:rPr>
                <w:t>article</w:t>
              </w:r>
            </w:hyperlink>
            <w:r>
              <w:rPr>
                <w:rFonts w:ascii="Calibri" w:hAnsi="Calibri" w:cs="Calibri"/>
              </w:rPr>
              <w: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962F75E" w:rsidR="002F0752" w:rsidRPr="00CF2E7C" w:rsidRDefault="00AA1802"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69ABE8E7" w:rsidR="002F0752" w:rsidRPr="00CF2E7C" w:rsidRDefault="00425D74"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lastRenderedPageBreak/>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0312CD9F" w:rsidR="002F0752" w:rsidRPr="00CF2E7C" w:rsidRDefault="00425D74"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317EF4B2" w:rsidR="002F0752" w:rsidRPr="00CF2E7C" w:rsidRDefault="00425D74" w:rsidP="00CF2E7C">
            <w:pPr>
              <w:rPr>
                <w:rFonts w:ascii="Calibri" w:hAnsi="Calibri" w:cs="Calibri"/>
              </w:rPr>
            </w:pPr>
            <w:r w:rsidRPr="00425D74">
              <w:rPr>
                <w:rFonts w:ascii="Calibri" w:hAnsi="Calibri" w:cs="Calibri"/>
              </w:rPr>
              <w:t>The Charter sets a clear ambition for oil and gas companies to achieve near-zero methane emissions (below 0.2% intensity) from upstream operations by 2030</w:t>
            </w:r>
            <w:r>
              <w:rPr>
                <w:rFonts w:ascii="Calibri" w:hAnsi="Calibri" w:cs="Calibri"/>
              </w:rPr>
              <w:t xml:space="preserve"> (page 3). </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59E50CA" w:rsidR="002F0752" w:rsidRPr="00CF2E7C" w:rsidRDefault="00425D74"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058E4C5F" w:rsidR="002F0752" w:rsidRPr="00CF2E7C" w:rsidRDefault="00425D74"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lastRenderedPageBreak/>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B7E672B" w:rsidR="002F0752" w:rsidRPr="00CF2E7C" w:rsidRDefault="006F01C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4959A104" w:rsidR="002F0752" w:rsidRPr="33822AF7" w:rsidRDefault="006F01C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16E71BA"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4E491BD4"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65BD74D2"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0379034"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5EA3F4A7"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52ED9BBC"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07C58D0"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D67CB0D"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1E580FF"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6C92A2AE"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5077EA91"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236E922C"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63EA5F20"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15030DB"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6C6F206A"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E3B810F"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4BD314B5"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BCE521F"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35315E75"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42017742"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4D490720"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5A342E6"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634A3716"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31303669"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21A437CF"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33FDB5A0"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0FB25BD0"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878E80B"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16AD1A6"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59F9BD79"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5CE6A193" w:rsidR="002F0752" w:rsidRPr="006F01CD" w:rsidRDefault="006F01CD" w:rsidP="00CF2E7C">
            <w:pPr>
              <w:rPr>
                <w:rFonts w:ascii="Calibri" w:eastAsia="Calibri" w:hAnsi="Calibri" w:cs="Calibri"/>
                <w:color w:val="000000" w:themeColor="text1"/>
              </w:rPr>
            </w:pPr>
            <w:r w:rsidRPr="006F01CD">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6D15D58"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8F6C3BE"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2DC05ADE"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476AC074"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6565F8C1"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1F60EAA7"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416C6C8"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8D4D6BF"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83F5365"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06F4D1E"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38EE4274"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7782BB7"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831E193" w:rsidR="002F0752" w:rsidRPr="00CF2E7C" w:rsidRDefault="006F01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799BC488"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7CF8B58"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0219C24"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446FDD81" w:rsidR="002F0752" w:rsidRPr="00CF2E7C" w:rsidRDefault="002963B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2918232"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33C73F4"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13955E4"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3FA10E94"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0B91C42"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787DD74E"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EB9C88B"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84F440E"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3F29278" w:rsidR="002F0752" w:rsidRPr="00CF2E7C" w:rsidRDefault="002963B7"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BE9E713"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752A9CF"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9491EE1"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5324573"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049F30F6"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A25FB39"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4E2399D7" w:rsidR="002F0752" w:rsidRPr="00CF2E7C" w:rsidRDefault="002963B7"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440809C" w:rsidR="002F0752" w:rsidRPr="00CF2E7C" w:rsidRDefault="002963B7" w:rsidP="00CF2E7C">
            <w:pPr>
              <w:rPr>
                <w:rFonts w:ascii="Calibri" w:hAnsi="Calibri" w:cs="Calibri"/>
              </w:rPr>
            </w:pPr>
            <w:r w:rsidRPr="002963B7">
              <w:rPr>
                <w:rFonts w:ascii="Calibri" w:hAnsi="Calibri" w:cs="Calibri"/>
              </w:rPr>
              <w:t>The Charter refers only to "internationally recognised frameworks" in general terms.</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D45C06" w14:textId="77777777" w:rsidR="00F313DD" w:rsidRDefault="00F313DD" w:rsidP="00874E39">
      <w:r>
        <w:separator/>
      </w:r>
    </w:p>
  </w:endnote>
  <w:endnote w:type="continuationSeparator" w:id="0">
    <w:p w14:paraId="37C0E49F" w14:textId="77777777" w:rsidR="00F313DD" w:rsidRDefault="00F313DD" w:rsidP="00874E39">
      <w:r>
        <w:continuationSeparator/>
      </w:r>
    </w:p>
  </w:endnote>
  <w:endnote w:type="continuationNotice" w:id="1">
    <w:p w14:paraId="342AFFC6" w14:textId="77777777" w:rsidR="00F313DD" w:rsidRDefault="00F313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1DBED0" w14:textId="77777777" w:rsidR="00F313DD" w:rsidRDefault="00F313DD" w:rsidP="00874E39">
      <w:r>
        <w:separator/>
      </w:r>
    </w:p>
  </w:footnote>
  <w:footnote w:type="continuationSeparator" w:id="0">
    <w:p w14:paraId="37308ED5" w14:textId="77777777" w:rsidR="00F313DD" w:rsidRDefault="00F313DD" w:rsidP="00874E39">
      <w:r>
        <w:continuationSeparator/>
      </w:r>
    </w:p>
  </w:footnote>
  <w:footnote w:type="continuationNotice" w:id="1">
    <w:p w14:paraId="40E5357F" w14:textId="77777777" w:rsidR="00F313DD" w:rsidRDefault="00F313D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701"/>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3B7"/>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9E3"/>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D74"/>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1CD"/>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F1C"/>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A2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02"/>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4D2"/>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154"/>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4F12"/>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3DD"/>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safety4sea.com/oil-and-gas-decarbonization-charter-2024-shows-significant-ghg-progres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Oil%20and%20Gas%20Decarbonisation%20Charter.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ipieca.org/news/the-oil-gas-decarbonization-charter-publishes-its-first-repor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111</Pages>
  <Words>21415</Words>
  <Characters>127426</Characters>
  <Application>Microsoft Office Word</Application>
  <DocSecurity>0</DocSecurity>
  <Lines>8495</Lines>
  <Paragraphs>4801</Paragraphs>
  <ScaleCrop>false</ScaleCrop>
  <Company/>
  <LinksUpToDate>false</LinksUpToDate>
  <CharactersWithSpaces>144040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10</cp:revision>
  <cp:lastPrinted>2025-03-21T00:14:00Z</cp:lastPrinted>
  <dcterms:created xsi:type="dcterms:W3CDTF">2025-07-16T13:53:00Z</dcterms:created>
  <dcterms:modified xsi:type="dcterms:W3CDTF">2025-07-16T14:27:00Z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